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250 vom 12. August 1975</w:t>
      </w:r>
    </w:p>
    <w:p>
      <w:r>
        <w:t>Bundesgericht (BGE), 1975-08-12, FR</w:t>
      </w:r>
    </w:p>
    <w:p>
      <w:r>
        <w:rPr>
          <w:b/>
        </w:rPr>
        <w:t xml:space="preserve">Quelle: </w:t>
      </w:r>
      <w:r>
        <w:t>https://mcp.opencaselaw.ch/entscheid/bge_101 IB 250</w:t>
      </w:r>
    </w:p>
    <w:p>
      <w:r>
        <w:t>FR: BGE 101 IB 250 du 12 août 1975</w:t>
      </w:r>
    </w:p>
    <w:p>
      <w:r>
        <w:t>IT: BGE 101 IB 250 del 12 agosto 1975</w:t>
      </w:r>
    </w:p>
    <w:p>
      <w:pPr>
        <w:pStyle w:val="Heading2"/>
      </w:pPr>
      <w:r>
        <w:t>Regeste</w:t>
      </w:r>
    </w:p>
    <w:p>
      <w:r>
        <w:t>Regeste Art. 38 Ziff. 1 Abs. 3 StGB. Die Behörde darf erst über die bedingte Entlassung entscheiden, nachdem sie den Verurteilten persönlich angehört und sich so ein Bild über seine Verhältnisse gemacht hat (Bestätigung der Rechtsprechung).</w:t>
      </w:r>
    </w:p>
    <w:p>
      <w:pPr>
        <w:pStyle w:val="Heading2"/>
      </w:pPr>
      <w:r>
        <w:t>Volltext</w:t>
      </w:r>
    </w:p>
    <w:p>
      <w:r>
        <w:t>Urteilskopf 101 Ib 250 46. Extrait de l'arrêt de la Cour de cassation pénale du 12 août 1975 dans la cause B. contre Commission de libération conditionnelle du canton de Genève Regeste Art. 38 Ziff. 1 Abs. 3 StGB . Die Behörde darf erst über die bedingte Entlassung entscheiden, nachdem sie den Verurteilten persönlich angehört und sich so ein Bild über seine Verhältnisse gemacht hat (Bestätigung der Rechtsprechung). Sachverhalt ab Seite 250 BGE 101 Ib 250 S. 250 B. a été condamné le 29 mai 1975 par la Cour correctionnelle de Genève à six mois d'emprisonnement pour vols, délit manqué de vol, contrainte, tentative d'extorsion et chantage. Les deux tiers de sa peine ont été purgés au 2 août 1975. B. a demandé le 5 juin à bénéficier de la libération conditionnelle en utilisant le formulaire remis par la direction du service pénitentiaire à cet effet, mais sa requête a été rejetée le 8 juillet 1975. La Commission cantonale de libération conditionnelle a estimé, au vu des projets formés par l'intéressé et des condamnations subies antérieurement par celui-ci, qu'il n'était pas possible de conjecturer qu'il se conduirait bien en liberté. B. forme un recours de droit administratif au Tribunal fédéral. Il estime sur le fond remplir les conditions posées à l'art. 38 CP et se plaint, quant à la forme, de ne pas avoir été entendu matériellement par l'autorité cantonale. BGE 101 Ib 250 S. 251 Erwägungen Considérant en droit: L'autorité cantonale justifie la procédure qu'elle a suivie en se référant à l'arrêt Mettraux (RO 98 Ib 172) ainsi qu'au droit d'être entendu tel qu'il est défini en application de l'art. 4 Cst. Cette argumentation tombe totalement à faux, car, d'une part, le droit d'être entendu n'est examiné à la lumière de l'art. 4 Cst. que s'il n'est pas déjà garanti par une autre prescription légale de droit cantonal ou fédéral et, d'autre part, le précédent invoqué est relatif à l'application des dispositions sur la réintégration (art. 38 ch. 4 CP) alors qu'il existe des décisions publiées concernant la libération conditionnelle (art. 38 ch. 1 al. 3 CP) dont il est question ici. Or il résulte sans équivoque de l'arrêt rendu le 6 décembre 1973 dans la cause H contre la Commission de libération conditionnelle du canton de Genève, déjà (RO 99 Ib 350), que l'autorité administrative ne doit se prononcer en matière de libération conditionnelle qu'après s'être rendue compte de visu et de auditu de la situation du détenu. Il ne saurait être question de revenir sur cette jurisprudence (confirmée à plusieurs reprises: Abela, 7 décembre 1973; Gräschl, du 18 mars 1974, selon lequel une délégation de l'autorité compétente peut procéder à l'audition), car le législateur a nettement manifesté son intention d'accorder au condamné, par le biais de l'art. 38 ch. 1 al. 3 CP, un droit d'être entendu plus large que celui qui découle, directement mais d'une façon plus générale, de l'art. 4 Cst. En effet, après que la Commission du Conseil des Etats, suivie par celle du Conseil national, eut introduit à l'art. 38 CP l'obligation d'entendre le détenu - qui n'était pas prévue dans le projet du Conseil fédéral du 1er mars 1965 - toutes les propositions rédactionnelles tendantes à faire coïncider cette obligation avec le droit d'être entendu défini dans le cadre de l'art. 4 Cst. n'ont pas abouti (cf. p.v. Commission CE, 13-15 mai 1965, p. 38 à 39; p.v. Commission CN, 31 mai-1er juin 1965, p. 60; rapport du Département fédéral de justice et police à la Commission du Conseil national du 28 juin 1968, ad art. 38; p.v. Commission CE, 15-17 septembre 1969, p. 32 à 35; et enfin bull. CN, mars 1969, p. 95). BGE 101 Ib 250 S. 252 Dispositiv Par ces motifs, le Tribunal fédéral: Admet le recours, annule la décision attaquée et renvoie la cause à l'autorité cantonale pour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